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3D" w:rsidRPr="009C0BD1" w:rsidRDefault="00676F3D" w:rsidP="00D81363">
      <w:pPr>
        <w:spacing w:after="0" w:line="240" w:lineRule="auto"/>
        <w:jc w:val="both"/>
        <w:rPr>
          <w:rFonts w:eastAsia="Times New Roman" w:cs="Times New Roman"/>
          <w:b/>
          <w:bCs/>
          <w:color w:val="000000" w:themeColor="text1"/>
          <w:szCs w:val="28"/>
        </w:rPr>
      </w:pPr>
      <w:bookmarkStart w:id="0" w:name="_GoBack"/>
      <w:bookmarkEnd w:id="0"/>
      <w:r w:rsidRPr="009C0BD1">
        <w:rPr>
          <w:rFonts w:eastAsia="Times New Roman" w:cs="Times New Roman"/>
          <w:b/>
          <w:bCs/>
          <w:color w:val="000000" w:themeColor="text1"/>
          <w:szCs w:val="28"/>
        </w:rPr>
        <w:t>Nội dung cơ bản của Luật bảo vệ môi trường</w:t>
      </w:r>
    </w:p>
    <w:p w:rsidR="009C0BD1" w:rsidRDefault="009C0BD1" w:rsidP="00D81363">
      <w:pPr>
        <w:spacing w:after="0" w:line="240" w:lineRule="auto"/>
        <w:jc w:val="both"/>
        <w:rPr>
          <w:rFonts w:eastAsia="Times New Roman" w:cs="Times New Roman"/>
          <w:b/>
          <w:bCs/>
          <w:color w:val="000000"/>
          <w:szCs w:val="28"/>
        </w:rPr>
      </w:pPr>
    </w:p>
    <w:p w:rsidR="00676F3D" w:rsidRPr="00D81363" w:rsidRDefault="00676F3D" w:rsidP="00D81363">
      <w:pPr>
        <w:spacing w:after="0" w:line="240" w:lineRule="auto"/>
        <w:jc w:val="both"/>
        <w:rPr>
          <w:rFonts w:eastAsia="Times New Roman" w:cs="Times New Roman"/>
          <w:b/>
          <w:bCs/>
          <w:color w:val="000000"/>
          <w:szCs w:val="28"/>
        </w:rPr>
      </w:pPr>
      <w:r w:rsidRPr="00D81363">
        <w:rPr>
          <w:rFonts w:eastAsia="Times New Roman" w:cs="Times New Roman"/>
          <w:b/>
          <w:bCs/>
          <w:color w:val="000000"/>
          <w:szCs w:val="28"/>
        </w:rPr>
        <w:t>Luật Bảo vệ môi trường (BVMT) được Quốc hội khóa XIV kỳ họp thứ 10 thông qua ngày 17/11/2020, Luật có hiệu lực thi hành từ ngày 01/01/2022, theo đó, Luật được ban hành với những nội dung cơ bản như sau:</w:t>
      </w:r>
    </w:p>
    <w:p w:rsidR="00676F3D" w:rsidRPr="00D81363" w:rsidRDefault="00676F3D" w:rsidP="00D81363">
      <w:pPr>
        <w:spacing w:after="0" w:line="240" w:lineRule="auto"/>
        <w:jc w:val="both"/>
        <w:rPr>
          <w:rFonts w:eastAsia="Times New Roman" w:cs="Times New Roman"/>
          <w:b/>
          <w:bCs/>
          <w:color w:val="000000"/>
          <w:szCs w:val="28"/>
        </w:rPr>
      </w:pPr>
      <w:r w:rsidRPr="00D81363">
        <w:rPr>
          <w:rFonts w:eastAsia="Times New Roman" w:cs="Times New Roman"/>
          <w:b/>
          <w:bCs/>
          <w:color w:val="000000"/>
          <w:szCs w:val="28"/>
        </w:rPr>
        <w:t> </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1. Bố cục của Luật bảo vệ môi trường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Luật BVMT năm 2020 gồm 16 chương, 171 điều; được bố cục lại so với Luật BVMT năm 2014, đưa các quy định về bảo vệ các thành phần môi trường lên đầu, thể hiện rõ mục tiêu xuyên suốt là bảo vệ các thành phần môi trường, bảo vệ sức khỏe người dân, coi đây là nội dung trọng tâm, quyết định cho các chính sách BVMT khác.</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Luật đồng bộ các công cụ quản lý môi trường theo từng giai đoạn của dự án, bắt từ khâu xem xét chủ trương đầu tư, thẩm định dự án, thực hiện dự án cho đến khi dự án đi vào vận hành chính thức và kết thúc dự án, bao gồm: Chiến lược BVMT quốc gia, quy hoạch BVMT, đánh giá môi trường chiến lược, đánh giá sơ bộ tác động môi trường, đánh giá tác động môi trường (ĐTM), giấy phép môi trường (GPMT) và đăng ký môi trường.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Lần đầu tiên, Luật thiết kế khung chính sách hướng đến việc hình thành đạo luật về BVMT có tính tổng thể, toàn diện và hài hòa với hệ thống pháp luật về kinh tế - xã hội; cải cách mạnh mẽ, cắt giảm trên 40% thủ tục hành chính (TTHC), giảm thời gian thực hiện các TTHC từ 20-85 ngày, góp phần giảm chi phí tuân thủ của doanh nghiệp.</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2. Phạm vi điều chỉnh và đối tượng áp dụng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a) Phạm vi điều chỉnh</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Luật này quy định về hoạt động BVMT; quyền, nghĩa vụ và trách nhiệm của cơ quan, tổ chức, cộng đồng dân cư, hộ gia đình và cá nhân trong hoạt động BVMT.</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b) Đối tượng áp dụng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Luật này áp dụng đối với cơ quan, tổ chức, cộng đồng dân cư, hộ gia đình và cá nhân trên lãnh thổ nước Cộng hòa xã hội chủ nghĩa Việt Nam, bao gồm đất liền, hải đảo, vùng biển, lòng đất và vùng trời.</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color w:val="000000"/>
          <w:szCs w:val="28"/>
        </w:rPr>
        <w:t>3. Quyền và nghĩa vụ cơ bản của cá nhân, tổ chức thuộc phạm vi, đối tượng áp dụng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BVMT là quyền, nghĩa vụ và trách nhiệm của mọi cơ quan, tổ chức, cộng đồng dân cư, hộ gia đình và cá nhân.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Cơ quan, tổ chức, cộng đồng dân cư, hộ gia đình và cá nhân được hưởng lợi từ môi trường có nghĩa vụ đóng góp tài chính cho hoạt động BVMT; gây ô nhiễm, sự cố và suy thoái môi trường phải chi trả, bồi thường thiệt hại, khắc phục, xử lý và chịu trách nhiệm khác theo quy định của pháp luật.</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Được nhà nước tạo điều kiện thuận lợi trong việc tham gia thực hiện, kiểm tra, giám sát hoạt động BVMT.</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Được tuyên truyền, giáo dục nâng cao nhận thức và thực hiện việc tuân thủ pháp luật về bảo vệ môi trường, xây dựng văn hóa BVMT.</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lastRenderedPageBreak/>
        <w:t>- Được bảo đảm quyền lợi trong việc đóng góp cho hoạt động bảo vệ môi trường; được ưu đãi, hỗ trợ hoạt động BVMT; thúc đẩy sản phẩm, dịch vụ thân thiện môi trường.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Được tôn vinh, khen thưởng trong việc đóng góp tích cực trong hoạt động BVMT theo quy định của pháp luật.</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4. Những nội dung chính sách, quy định mới</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4.1. Lần đầu tiên, cộng đồng dân cư được quy định là một chủ thể trong công tác BVMT; tăng cường công khai thông tin, tham vấn, phát huy vai trò giám sát, phản biện, đồng thời được bảo đảm quyền và lợi ích của cộng đồng dân cư khi tham gia các hoạt động BVMT</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Thời gian qua, cộng đồng dân cư đã thể hiện vai trò ngày càng quan trọng trong công tác BVMT, tiêu biểu nhất là thông qua việc hình thành các mô hình cộng đồng tham gia BVMT hiệu quả. Sự tham gia của cộng đồng dân cư trong việc thu thập, cung cấp thông tin về BVMT; tham gia đánh giá kết quả BVMT của doanh nghiệp.</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Tuy nhiên, Luật BVMT năm 2014 chưa quy định cộng đồng dân cư là một chủ thể trong công tác BVMT, vì vậy chưa đẩy mạnh, phát huy được vai trò quan trọng của cộng đồng dân cư trong công tác BVMT. Luật BVMT năm 2020 đã bổ sung “cộng đồng dân cư” vào phạm vi điều chỉnh và đối tượng áp dụng nhằm khẳng định vị trí, vai trò của nhóm đối tượng quan trọng này trong công tác BVMT cũng như thực hiện một trong những mục tiêu xuyên suốt của Luật là bảo vệ sức khỏe người dân, đảm bảo người dân được sống trong môi trường trong lành.</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Nhằm tạo thuận lợi cho cộng đồng dân cư phát huy được vai trò của mình trong công tác BVMT, Luật đã bổ sung quy định thiết lập hệ thống trực tuyến tiếp nhận, xử lý, trả lời phản ánh, kiến nghị, tham vấn của tổ chức, cá nhân và cộng đồng dân cư về BVMT, qua đó giúp cộng đồng dân cư có thể tham gia giám sát hoạt động BVMT thông qua công nghệ thông tin, tương tác các ứng dụng thông minh trên điện thoại di động.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Vấn đề công khai thông tin đã được quy định xuyên suốt, thống nhất trong Luật BVMT năm 2020 theo các nội dung cụ thể về BVMT, cùng với một khoản riêng quy định việc cung cấp, công khai thông tin về môi trường. Cụ thể, Luật đã bổ sung nguyên tắc hoạt động BVMT phải được công khai, minh bạch; quy định rõ trách nhiệm công khai thông tin liên quan đến chất lượng môi trường không khí, chất lượng môi trường đất, chất thải nguy hại, kết quả quan trắc chất thải; chủ trương của Nhà nước là khuyến khích tổ chức, cá nhân tham gia đóng góp, cung cấp thông tin về môi trường; trách nhiệm của Bộ, cơ quan ngang bộ, Ủy ban nhân dân cấp tỉnh và của chủ dự án, cơ sở sản xuất, kinh doanh, khu sản xuất, kinh doanh tập trung, cụm công nghiệp trong việc cung cấp, công khai thông tin về môi trường.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xml:space="preserve">- Lần đầu tiên quy định việc công khai danh sách hội đồng thẩm định báo cáo ĐTM, dành một Điều quy định công khai thông tin và sự tham gia của cộng đồng trong phòng ngừa, ứng phó sự cố môi trường. Việc công bố, công khai quyết định phê duyệt kết quả thẩm định báo cáo ĐTM của cơ quan thẩm định, công khai báo cáo ĐTM sau khi được phê duyệt kết quả thẩm định của chủ dự án, nội dung báo cáo đề xuất cấp GPMT, trừ thông tin liên quan đến bí mật nhà nước, bí mật của </w:t>
      </w:r>
      <w:r w:rsidRPr="00D81363">
        <w:rPr>
          <w:rFonts w:eastAsia="Times New Roman" w:cs="Times New Roman"/>
          <w:color w:val="000000"/>
          <w:szCs w:val="28"/>
        </w:rPr>
        <w:lastRenderedPageBreak/>
        <w:t>doanh nghiệp theo quy định của pháp luật để lấy ý kiến của các bên liên quan cũng đã được quy định cụ thể trong Luật.</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Hình thức công khai được thực hiện thông qua cổng thông tin của cơ quan, tổ chức, trên các phương tiện thông tin đại chúng hoặc các hình thức khác, bảo đảm thuận tiện cho những đối tượng có liên quan tiếp nhận thông tin; giao Chính phủ quy định chi tiết nội dung và việc quản lý thông tin về môi trường; trình tự, thủ tục, thời điểm và hình thức cung cấp, công khai thông tin về môi trường.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Lần đầu tiên, trách nhiệm của chủ dự án trong việc tham vấn cộng đồng dân cư, được quy định ngay từ khi lập báo cáo ĐTM. Trong đó, đã quy định rõ trách nhiệm thực hiện tham vấn, đối tượng tham vấn, nội dung tham vấn chủ yếu, hình thức tham vấn trong quá trình thực hiện ĐTM; kết quả tham vấn cộng đồng dân cư, cơ quan, tổ chức liên quan là thông tin quan trọng để chủ dự án nghiên cứu đưa ra giải pháp giảm thiểu tác động của dự án đối với môi trường và hoàn thiện báo cáo ĐTM của dự án. Trong quá trình lập hồ sơ đề nghị cấp GPMT, Luật cũng đã quy định trách nhiệm của chủ dự án trong việc tham vấn ý kiến các bên có liên quan.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4.2. Thay đổi phương thức quản lý môi trường đối với dự án đầu tư theo các tiêu chí môi trường; kiểm soát chặt chẽ dự án có nguy cơ tác động xấu đến môi trường mức độ cao, thực hiện hậu kiểm đối với các dự án có công nghệ tiên tiến và thân thiện môi trường; cắt giảm thủ tục hành chính</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Luật BVMT 2020 đã thể hiện sự thay đổi mạnh mẽ trong tư duy quản lý môi trường thông qua thể chế hóa chính sách phát triển dựa trên quy luật tự nhiên, không hy sinh môi trường để đổi lấy tăng trưởng kinh tế; BVMT không chỉ là phòng ngừa, kiểm soát, xử lý chất thải; các hoạt động sản xuất, phát triển phải hài hòa với tự nhiên, khuyến khích bảo vệ và phát triển tự nhiên. Đồng thời, Luật cũng đặt ra các tiêu chuẩn, quy chuẩn môi trường nhằm thực hiện mục tiêu bảo đảm người dân Việt Nam được hưởng chất lượng môi trường ngang bằng với các nước trên thế giới và cũng hài hòa với quy định của quốc tế để góp phần thực hiện các cam kết quốc tế của Việt Nam về BVMT, ứng phó với biến đổi khí hậu.</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Lần đầu tiên, Luật tiếp cận phương pháp quản lý môi trường xuyên suốt, khoa học đối với dự án đầu tư dựa trên các tiêu chí môi trường; sàng lọc, không khuyến khích các dự án không tuân theo quy luật tự nhiên, chiếm dụng lớn diện tích rừng, đất lúa, tác động đến các di sản thiên nhiên, khu bảo tồn; áp dụng công cụ quản lý môi trường phù hợp theo từng giai đoạn từ việc xây dựng chiến lược, quy hoạch đến thực hiện dự án đầu tư.</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Theo đó dự án đầu tư được phân thành 04 nhóm: Có nguy cơ tác động xấu đến môi trường mức độ cao, có nguy cơ, ít có nguy cơ hoặc không có nguy cơ tác động xấu đến môi trường. Tương ứng với từng đối tượng dự án cụ thể, cơ quan quản lý nhà nước về môi trường sẽ áp dụng các cơ chế quản lý phù hợp, cụ thể là:</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Quy định chỉ đối tượng có nguy cơ tác động xấu đến môi trường mức độ cao (Nhóm I) mới phải đánh giá sơ bộ tác động môi trường. Quy định này nhằm khắc phục các hạn chế, bất cập của pháp luật hiện hành, gồm: Giảm TTHC cho nhiều nhà đầu tư, theo đó các dự án không thuộc Nhóm I sẽ không phải đánh giá sơ bộ tác động môi trường nhằm tiết kiệm được thời gian và chi phí.</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xml:space="preserve">+ Áp dụng đầy đủ các công cụ môi trường để quản lý, sàng lọc dự án đầu tư có nguy cơ tác động xấu đến môi trường mức độ cao (đánh giá sơ bộ tác động môi </w:t>
      </w:r>
      <w:r w:rsidRPr="00D81363">
        <w:rPr>
          <w:rFonts w:eastAsia="Times New Roman" w:cs="Times New Roman"/>
          <w:color w:val="000000"/>
          <w:szCs w:val="28"/>
        </w:rPr>
        <w:lastRenderedPageBreak/>
        <w:t>trường, ĐTM, cấp GPMT nếu phát sinh chất thải); đối với các dự án áp dụng công nghệ tiên tiến và thân thiện môi trường được cấp GPMT ngay từ giai đoạn nghiên cứu khả thi và tổ chức hậu kiểm (thông qua thanh tra, kiểm tra) khi dự án đi vào hoạt động hoặc chỉ phải đăng ký môi trường (không phải là thủ tục hành chính, được thực hiện bằng hình thức trực tuyến, đơn giản) tại UBND cấp xã. Bên cạnh đó, Luật cũng cải cách mạnh mẽ TTHC thông qua việc tích hợp toàn bộ các giấy phép, giấy xác nhận về môi trường vào chung 01 GPMT và bãi bỏ các giấy phép có liên quan;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Xác lập lại đúng vai trò hoạt động quan trắc chất thải của doanh nghiệp, Luật quy định các đối tượng xả nước thải, bụi, khí thải lớn ra môi trường phải quan trắc định kỳ; đối tượng phải quan trắc tự động, liên tục bao gồm các cơ sở thuộc loại hình có nguy cơ gây ô nhiễm môi trường với lưu lượng phát thải trung bình trở lên và cơ sở không thuộc loại hình có nguy cơ gây ô nhiễm môi trường với lưu lượng phát thải lớn, các khu, cụm công nghiệp. Đối tượng, thông số, tần suất quan trắc cụ thể sẽ do Chính phủ quy định để phù hợp với điều kiện phát triển khoa học, công nghệ và yêu cầu BVMT trong từng thời kỳ.</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 </w:t>
      </w:r>
      <w:r w:rsidRPr="00D81363">
        <w:rPr>
          <w:rFonts w:eastAsia="Times New Roman" w:cs="Times New Roman"/>
          <w:i/>
          <w:iCs/>
          <w:color w:val="000000"/>
          <w:szCs w:val="28"/>
        </w:rPr>
        <w:t>Về ý kiến cho rằng số liệu quan trắc chất thải tự động, liên tục không đáng tin cậy do không có phương pháp tiêu chuẩn: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Phương pháp tiêu chuẩn được quy định đối với hoạt động quan trắc (lấy mẫu hiện trường, bảo quản mẫu và phân tích mẫu trong phòng thí nghiệm). Toàn bộ quá trình này đều do con người thực hiện, nên cần phải có quy trình kỹ thuật để quản lý bằng phương pháp tiêu chuẩn (hiện ở Việt Nam đang thực hiện theo các TCVN, ISO hoặc áp dụng các tiêu chuẩn của Hoa Kỳ);</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Thông tư số 24/2017/TT-BTNMT đã quy định chi tiết các yêu cầu cơ bản và đặc tính kỹ thuật, quy trình vận hành, quản lý và kiểm soát hệ thống quan trắc nước thải, khí thải tự động, liên tục. Về bản chất, việc quan trắc tự động, liên tục là do thiết bị đo tự thực hiện, được kiểm soát thông qua các yêu cầu về đặc tính kỹ thuật của thiết bị; yêu cầu về trách nhiệm kiểm định, hiệu chuẩn định kỳ thiết bị theo pháp luật về đo lường (quá trình này đều sử dụng chất chuẩn để đánh giá độ chính xác thiết bị theo quy định) để kiểm soát chặt chẽ độ chính xác cũng như quy trình vận hành thiết bị. Theo quy định này, doanh nghiệp có trách nhiệm phải thực hiện kiểm soát chất lượng của Hệ thống trước khi đi vào vận hành chính thức và định kỳ 01 lần/năm.</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Hiện nay, quy định về độ chính xác của giá trị đo bằng thiết bị quan trắc tự động theo Thông tư số 24/2017/TT-BTNMT đối với một số thông số quan trắc là tương đương, trong một số khoảng nồng độ còn nghiêm ngặt hơn so với yêu cầu về độ chính xác và độ nhiễu trong các phương pháp tiêu chuẩn đối với phân tích trong phòng thí nghiệm. </w:t>
      </w:r>
      <w:r w:rsidRPr="00D81363">
        <w:rPr>
          <w:rFonts w:eastAsia="Times New Roman" w:cs="Times New Roman"/>
          <w:i/>
          <w:iCs/>
          <w:color w:val="000000"/>
          <w:szCs w:val="28"/>
        </w:rPr>
        <w:t>Ví dụ như đối với thông số COD trong nước thải: yêu cầu độ chính xác của thiết bị quan trắc tự động </w:t>
      </w:r>
      <w:r w:rsidRPr="00D81363">
        <w:rPr>
          <w:rFonts w:eastAsia="Times New Roman" w:cs="Times New Roman"/>
          <w:b/>
          <w:bCs/>
          <w:i/>
          <w:iCs/>
          <w:color w:val="000000"/>
          <w:szCs w:val="28"/>
        </w:rPr>
        <w:t>là dưới 5%</w:t>
      </w:r>
      <w:r w:rsidRPr="00D81363">
        <w:rPr>
          <w:rFonts w:eastAsia="Times New Roman" w:cs="Times New Roman"/>
          <w:i/>
          <w:iCs/>
          <w:color w:val="000000"/>
          <w:szCs w:val="28"/>
        </w:rPr>
        <w:t> (theo giá trị đọc); trong khi đó theo phương pháp tiêu chuẩn SMEWW 5520C:2017 - Phương pháp tiêu chuẩn xác định COD bằng chuẩn độ (của Hoa Kỳ) cho phép sai số </w:t>
      </w:r>
      <w:r w:rsidRPr="00D81363">
        <w:rPr>
          <w:rFonts w:eastAsia="Times New Roman" w:cs="Times New Roman"/>
          <w:b/>
          <w:bCs/>
          <w:i/>
          <w:iCs/>
          <w:color w:val="000000"/>
          <w:szCs w:val="28"/>
        </w:rPr>
        <w:t>đến 5,6%.</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Theo tiến trình phát triển khoa học kỹ thuật, đặc biệt là cuộc cách mạng công nghiệp 4.0, thì nhiều lĩnh vực quản lý nhà nước khác cũng đã và đang chuyển đổi dần sang sử dụng thiết bị tự động để quản lý, như ngành điện hiện nay đã chuyển từ công tơ ghi số bằng tay sang công tơ tự động tính giá điện.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lastRenderedPageBreak/>
        <w:t>4.3. Đã định chế nội dung sức khỏe môi trường; bổ sung nhiều giải pháp bảo vệ các thành phần môi trường, đặc biệt là môi trường không khí, môi trường nước</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Nội dung sức khỏe môi trường tuy không có quy định riêng nhưng đã được định chế trong toàn bộ Luật BVMT 2020, thông qua việc bảo vệ các thành phần môi trường, qua đó bảo vệ sức khỏe người dân, bảo đảm quyền mọi người được sống trong môi trường trong lành. Luật đã bổ sung nội dung quản lý các chất ô nhiễm có tác động trực tiếp đến sức khỏe con người; quy định rõ trách nhiệm của Bộ Y tế, các bộ, cơ quan ngang bộ, UBND cấp tỉnh trong theo dõi, kiểm soát, phòng ngừa các chất ô nhiễm ảnh hưởng đến sức khỏe con người cũng như đánh giá mối quan hệ giữa sức khỏe môi trường với sức khỏe con người, đặc biệt là mối quan hệ giữa ô nhiễm môi trường với các loại bệnh dịch mới.</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Riêng ô nhiễm không khí và môi trường nước mặt đang là vấn đề bức xúc tại các lưu vực sông và đô thị lớn của Việt Nam. Tuy nhiên, hiện nay hành lang pháp lý chưa đầy đủ để quản lý chất lượng môi trường không khí, chất lượng môi trường nước và thực hiện các biện pháp ứng phó khẩn cấp với tình trạng ô nhiễm không khí tại các đô thị lớn.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Để giải quyết vấn đề bức xúc nêu trên, Luật đã quy định việc lập và thực hiện kế hoạch quản lý chất lượng môi trường nước mặt, môi trường không khí nhằm nâng cao hiệu quả bảo vệ các thành phần môi trường; đồng thời quy định về tiêu chí và phân loại khu vực ô nhiễm môi trường đất, quy định nội dung về xử lý, cải tạo và phục hồi môi trường đất.</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Luật cũng đã quy định rõ trách nhiệm của UBND cấp tỉnh trong việc xây dựng, phê duyệt và tổ chức thực hiện kế hoạch quản lý chất lượng môi trường không khí; đánh giá, theo dõi chất lượng môi trường không khí và công khai thông tin; cảnh báo cho cộng đồng và triển khai các biện pháp xử lý trong trường hợp chất lượng môi trường không khí bị ô nhiễm; tổ chức thực hiện biện pháp khẩn cấp trong trường hợp chất lượng môi trường không khí bị ô nhiễm nghiêm trọng.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Không chỉ được quy định ở các nội dung về bảo vệ chất lượng môi trường không khí, đất, nước, việc bảo vệ các thành phần môi trường này còn được thể hiện tại nhiều nội dung có liên quan trong Luật như các nội dung về quản lý nước thải, quản lý bụi, khí thải và các chất ô nhiễm khác cũng như các nội dung về quản lý chất thải rắn (sẽ góp phần giảm tác động đến môi trường đất, nước và không khí), quan trắc các thành phần môi trường, vv.</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4.4. Thúc đẩy phân loại rác thải tại nguồn; định hướng cách thức quản lý, ứng xử với chất thải, góp phần thúc đẩy kinh tế tuần hoàn ở Việt Nam</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xml:space="preserve">- Hiện nay tỷ lệ chôn lấp rác thải ở Việt Nam còn cao, một trong các nguyên nhân là do rác thải chưa được phân loại dẫn đến khó khăn trong xử lý. Để khắc phục tình trạng này, Luật BVMT 2020 đã quy định việc thu phí rác thải dựa trên khối lượng hoặc thể tích thay cho việc tính bình quân theo hộ gia đình hoặc đầu người như hiện nay. Cơ chế thu phí này sẽ góp phần thúc đẩy người dân phân loại, giảm thiểu rác thải phát sinh tại nguồn do nếu không thực hiện việc này thì chi phí xử lý rác thải phải nộp sẽ cao, thông qua quy định rác thải sinh hoạt phải được phân làm 03 loại: (i) Chất thải rắn có khả năng tái sử dụng, tái chế; (ii) chất thải thực phẩm; (iii) Chất thải rắn sinh hoạt khác. Bộ TN&amp;MT đã nghiên cứu kỹ lưỡng mô hình và kinh nghiệm của các quốc gia trên thế giới hiện đang thực hiện rất thành công việc thu </w:t>
      </w:r>
      <w:r w:rsidRPr="00D81363">
        <w:rPr>
          <w:rFonts w:eastAsia="Times New Roman" w:cs="Times New Roman"/>
          <w:color w:val="000000"/>
          <w:szCs w:val="28"/>
        </w:rPr>
        <w:lastRenderedPageBreak/>
        <w:t>phí xử lý rác thải qua hình thức bán bao bì, thiết bị đựng rác như Nhật Bản, Hàn Quốc và các quốc gia phát triển khác.</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Để bảo đảm tính khả thi của cơ chế này, Luật đã đưa ra một số quy định như: (i) Căn cứ điều kiện kinh tế - xã hội của địa phương, Ủy ban nhân dân cấp tỉnh quyết định việc phân loại cụ thể chất thải rắn sinh hoạt với thời hạn áp dụng chậm nhất là ngày 31/12/2024; (ii) Tại các điểm tập kết rác thải, nếu phát hiện việc phân loại không đúng quy định thì đơn vị thu gom, vận chuyển có quyền từ chối thu gom, vận chuyển và thông báo cơ quan có thẩm quyền để kiểm tra, xác định hộ gia đình, cá nhân vi phạm và xử lý nghiêm (thông qua hệ thống camera giám sát); (iii) Mặt trận Tổ quốc Việt Nam, tổ chức chính trị - xã hội các cấp vận động cộng đồng dân cư, hộ gia đình, cá nhân thực hiện phân loại chất thải rắn sinh hoạt tại nguồn. Cộng đồng dân cư, tổ chức chính trị - xã hội có trách nhiệm giám sát việc phân loại chất thải rắn sinh hoạt của các hộ gia đình, cá nhân; (iv) Ủy ban nhân dân cấp xã có trách nhiệm kiểm tra việc tuân thủ, xử lý hoặc chuyển cấp có thẩm quyền xử lý các hành vi vi phạm pháp luật về quản lý chất thải rắn sinh hoạt theo quy định.</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Ngoài ra, rác thải sinh hoạt phát sinh từ hộ gia đình, cá nhân khu vực nông thôn sau khi phân loại được khuyến khích tận dụng tối đa lượng chất thải thực phẩm làm phân bón hữu cơ, làm thức ăn chăn nuôi để phù hợp với điều kiện nông thôn tại Việt Nam.</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Nhằm hướng tới phát triển kinh tế tuần hoàn, tăng cường tái chế, tái sử dụng phế liệu trong nước để hạn chế việc nhập khẩu phế liệu làm nguyên liệu sản xuất, ngoài quy định trách nhiệm phân loại chất thải rắn công nghiệp phát sinh từ cơ sở sản xuất, kinh doanh, dịch vụ thành các loại: (i) nhóm chất thải rắn công nghiệp thông thường được tái sử dụng, tái chế làm nguyên liệu sản xuất; (ii) nhóm chất thải rắn đáp ứng tiêu chuẩn, quy chuẩn, hướng dẫn kỹ thuật được sử dụng trong sản xuất vật liệu xây dựng và san lấp mặt bằng; (iii) nhóm chất thải rắn công nghiệp thông thường phải xử lý, Luật lần đầu tiên đã quy định trách nhiệm mở rộng của tổ chức, cá nhân sản xuất, nhập khẩu các sản phẩm, bao bì có khả năng tái chế/khó có khả năng tái chế phải thu hồi với tỷ lệ và quy cách bắt buộc hoặc thông qua hợp đồng dịch vụ hoặc cơ chế đóng góp tài chính để hỗ trợ tái chế sản phẩm, bao bì do mình sản xuất, nhập khẩu.</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4.5. Lần đầu tiên chế định về thẩm quyền quản lý nhà nước dựa trên nguyên tắc quản lý tổng hợp, thống nhất, một việc chỉ giao cho một cơ quan chủ trì thực hiện; phân cấp triệt để cho địa phương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xml:space="preserve">- Việc thực hiện song song thủ tục cấp giấy phép, giấy xác nhận về môi trường (do cơ quan quản lý nhà nước về BVMT thực hiện) với cấp phép xả nước thải vào công trình thủy lợi (do cơ quan quản lý nhà nước về công trình thủy lợi thực hiện) trong thời gian qua đã bộc lộ nhiều bất cập, hạn chế, cụ thể là: một đối tượng là nước thải của doanh nghiệp xả thải vào công trình thủy lợi tiếp tục phải thực hiện hai TTHC có nhiều nội dung tương đồng; không bảo đảm nguyên tắc quản lý tổng hợp về tài nguyên nước; phân tán chức năng quản lý nhà nước đối với đối tượng là nước thải xả vào công trình thủy lợi; việc kiểm tra, thanh tra, xử lý vi phạm hành vi xả nước thải vượt quy chuẩn kỹ thuật vào công trình thủy lợi do các cơ quan quản lý nhà nước về thủy lợi không được kịp thời, thường xuyên, hiệu quả (do pháp luật </w:t>
      </w:r>
      <w:r w:rsidRPr="00D81363">
        <w:rPr>
          <w:rFonts w:eastAsia="Times New Roman" w:cs="Times New Roman"/>
          <w:color w:val="000000"/>
          <w:szCs w:val="28"/>
        </w:rPr>
        <w:lastRenderedPageBreak/>
        <w:t>về xử phạt vi phạm hành chính trong lĩnh vực thủy lợi không có chế tài xử lý hành vi này).</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Để khắc phục vấn đề này, Luật BVMT 2020 đã bãi bỏ thủ tục cấp giấy phép xả nước thải vào nguồn nước, xả nước thải vào công trình thủy lợi mà lồng ghép nội dung này trong GPMT nhằm thống nhất trách nhiệm, thẩm quyền và nguyên tắc quản lý tổng hợp tài nguyên nước; đồng thời giảm TTHC mạnh mẽ cho doanh nghiệp. Song song với chế định này, Luật cũng đã bổ sung trách nhiệm, thẩm quyền tham gia, phản biện và đồng thuận của cơ quan quản lý công trình thủy lợi ngay từ giai đoạn ĐTM cho đến khi cấp GPMT đối với cơ sở xả nước thải vào công trình thủy lợi nhằm tăng cường công tác phối hợp của các cơ quan.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Luật đã phân cấp mạnh mẽ cho địa phương thông qua chế định giao UBND cấp tỉnh chủ trì, phối hợp với các bộ có liên quan thẩm định báo cáo ĐTM đối với các dự án thuộc thẩm quyền phê duyệt chủ trương đầu tư, quyết định đầu tư của các Bộ quản lý công trình xây dựng chuyên ngành (quy định hiện hành phân cấp các Bộ, ngành đều có thể thẩm định báo cáo ĐTM) đồng thời quy định các bộ có liên quan có trách nhiệm phối hợp với Ủy ban nhân dân cấp tỉnh trong quá trình thực hiện nhằm bảo đảm hiệu quả. Quy định này sẽ bảo đảm quản lý thống nhất tại địa phương, thuận lợi cho công tác kiểm tra, giám sát, cấp phép sau này và phù hợp với xu hướng phân cấp cho địa phương như hệ thống pháp luật hiện hành.</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4.6. Lần đầu chế định cụ thể về kiểm toán môi trường nhằm tăng cường năng lực, hiệu quả quản lý môi trường của doanh nghiệp</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Tiếp thu kinh nghiệm thành công của quốc tế về kiểm toán môi trường được áp dụng đối với các doanh nghiệp, cơ sở sản xuất nhằm đánh giá mức độ hiệu quả sử dụng tiết kiệm tài nguyên, quản lý chất thải, kiểm soát ô nhiễm và BVMT, Luật BVMT 2020 đã bổ sung nội dung về kiểm toán môi trường nhằm điều chỉnh hoạt động kiểm toán trong nội bộ tổ chức, cơ sở sản xuất, kinh doanh, dịch vụ do đơn vị tự thực hiện hoặc thông qua dịch vụ kiểm toán.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Mục đích của hoạt động này nhằm tăng cường năng lực quản lý môi trường của doanh nghiệp, giúp doanh nghiệp nhận biết lỗ hổng trong quản lý môi trường và có giải pháp điều chỉnh hoạt động quản lý môi trường được hiệu quả hơn.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Luật cũng đã bổ sung quy định Kiểm toán nhà nước thực hiện kiểm toán trong lĩnh vực môi trường theo quy định của Luật Kiểm toán nhà nước và pháp luật có liên quan.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4.7. Cụ thể hóa các quy định về ứng phó BĐKH, thúc đẩy phát triển thị trường các-bon trong nước</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Chương IV Luật BVMT 2014 đã quy định về ứng phó biến đổi khí hậu (BĐKH). Tuy nhiên, một số nội dung đang chồng lấn với các điều khoản trong các chương khác của Luật (nghiên cứu khoa học, quản lý chất thải, …), chưa cụ thể nội dung thích ứng BĐKH, do vậy, Luật BVMT 2020 đã bổ sung các quy định về thích ứng với BĐKH, giảm nhẹ phát thải khí nhà kính, bảo vệ tầng ô-zôn, trong đó xác định nội dung và trách nhiệm của Bộ TN&amp;MT, các Bộ, ngành liên quan và địa phương về thích ứng với BĐKH và giảm nhẹ phát thải khí nhà kính; bổ sung quy định về lồng ghép nội dung ứng phó với BĐKH vào hệ thống chiến lược, quy hoạch, thực hiện cam kết quốc tế về BĐKH và bảo vệ tầng ô-dôn.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lastRenderedPageBreak/>
        <w:t>- Đặc biệt, Luật đã lần đầu tiên chế định về tổ chức và phát triển thị trường các-bon như là công cụ để thúc đẩy giảm phát thải khí nhà kính trong nước, góp phần thực hiện đóng góp về giảm nhẹ phát thải khí nhà kính do Việt Nam cam kết khi tham gia Thỏa thuận Paris về BĐKH. Trong đó, quy định rõ đối tượng được phân bổ hạn ngạch phát thải khí nhà kính và có quyền trao đổi, mua bán trên thị trường các-bon trong nước; căn cứ xác định hạn ngạch phát thải khí nhà kính; trách nhiệm của các cơ quan quản lý, tổ chức liên trong trong việc phân bổ hạn ngạch phát thải khí nhà kính; lộ trình và thời điểm triển khai thị trường các-bon trong nước để phù hợp với điều kiện kinh tế - xã hội của đất nước và điều ước quốc tế mà nước Cộng hòa xã hội chủ nghĩa Việt Nam là thành viên.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4.8. Hoàn thiện hành lang pháp lý bảo vệ di sản thiên nhiên phù hợp với pháp luật quốc tế về di sản thế giới, đáp ứng yêu cầu của quá trình hội nhập quốc tế</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Theo Công ước về bảo vệ di sản văn hóa và thiên nhiên thế giới (Công ước di sản thế giới), di sản thế giới được chia làm 02 loại bao gồm: di sản thiên nhiên và di sản văn hóa có các đặc điểm, tiêu chí hoàn toàn khác nhau (tiêu chí của di sản thiên nhiên gắn với các yếu tố của tự nhiên, trong đó tiêu chí của di sản văn hóa gắn với yếu tố con người). Việt Nam đã tham gia Công ước này từ năm 1987, tuy nhiên, hệ thống pháp luật của Việt Nam về quản lý di sản thiên nhiên chưa nội luật hóa đầy đủ và tương thích với nội dung của Công ước. Các quy định về đối tượng là di sản thiên nhiên của Việt Nam đang được quy định tản mạn trong một số pháp luật chuyên ngành như Luật Đa dạng sinh học (khu bảo tồn đất ngập nước), Luật Lâm nghiệp (khu bảo tồn là rừng đặc dụng), Luật Thủy sản (khu bảo tồn biển), thậm chí còn được quy định trong pháp luật về di sản văn hóa (Luật Di sản văn hóa quy định di sản văn hóa còn bao gồm cả danh lam thắng cảnh là một đối tượng của di sản thiên nhiên), do đó, chưa bao quát được toàn bộ các đối tượng là di sản thiên nhiên cần bảo vệ (như công viên địa chất toàn cầu, khu dự trữ sinh quyển, khu Ramsar –khu đất ngập nước có tầm quan trọng quốc tế, vườn di sản ASEAN), đồng thời thiếu quy định về việc xác lập cũng như chế độ quản lý các di sản thiên nhiên cấp quốc tế này. Điều này tạo ra rào cản trong quá trình hội nhập và thực hiện Công ước di sản thế giới mà Việt Nam đã tham gia cũng như phát sinh nhiều vấn đề chưa được xử lý trong thực tiễn quản lý hiện nay.</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Để khắc phục các bất cập này, Luật BVMT 2020 đã đưa ra các quy định về tiêu chí xác lập di sản thiên nhiên dựa trên cơ sở các tiêu chí của quốc tế và thực tiễn điều kiện Việt Nam hiện nay; trong đó đối với các đối tượng là di sản thiên nhiên đã được quy định trong pháp luật về lâm nghiệp, thủy sản, đa dạng sinh học và di sản văn hóa thì vẫn thực hiện theo các quy định này để tránh xáo trộn, chồng chéo. Đồng thời, quy định việc điều tra, đánh giá, quản lý và BVMT di sản thiên nhiên để bảo vệ, phát huy giá trị bền vững di sản thiên nhiên ở nước ta.</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4.9. Tạo lập chính sách phát triển các mô hình tăng trưởng kinh tế bền vững, thúc đẩy kinh tế tuần hoàn, phục hồi và phát triển nguồn vốn tự nhiên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xml:space="preserve">Phát triển kinh tế bền vững thông qua việc thúc đẩy các mô hình kinh tế xanh, kinh tế tuần hoàn, kinh tế ít phát thải các-bon, đầu tư vào vốn tự nhiên đang là xu hướng chủ đạo trong phát triển kinh tế của các nước trên thế giới hiện nay, nhất là các nước đang phát triển. Các mô hình này tập trung vào việc đầu tư sản xuất, tiêu dùng, xuất nhập khẩu, phân phối và kinh doanh các sản phẩm, hàng hóa và dịch vụ </w:t>
      </w:r>
      <w:r w:rsidRPr="00D81363">
        <w:rPr>
          <w:rFonts w:eastAsia="Times New Roman" w:cs="Times New Roman"/>
          <w:color w:val="000000"/>
          <w:szCs w:val="28"/>
        </w:rPr>
        <w:lastRenderedPageBreak/>
        <w:t>hướng tới tối ưu hóa sử dụng nguyên liệu, vật liệu, năng lượng và chất thải, thân thiện với môi trường; đầu tư vào vốn tự nhiên.</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Ở nước ta, nhiều chủ trương, chính sách của Đảng và Nhà nước về thúc đẩy tăng trưởng xanh, phát triển nền kinh tế tuần hoàn, hướng tới phát triển bền vững cũng đã được ban hành nhưng còn thiếu cơ sở pháp lý tạo nền tảng cho thúc đẩy các mô hình kinh tế này. Vốn tự nhiên là các nguồn tài nguyên thiên nhiên, bao gồm tài nguyên đất, tài nguyên nước, tài nguyên rừng, nguồn lợi thủy sản, khoáng sản, nhiên liệu hóa thạch, các nguồn năng lượng tự nhiên và các dịch vụ hệ sinh thái tự nhiên. Cũng giống như các dạng vốn khác (vốn vật chất, vốn tài chính và vốn con người), vốn tự nhiên cũng có thể bị suy giảm và suy thoái do quá trình sản xuất và tiêu dùng. Tuy nhiên, trong thời gian qua, với mô hình tăng trưởng trước đây, chúng ta mới chỉ tập trung tích lũy nhanh vốn vật chất, tài chính và con người mà thiếu đi sự quan tâm tới sự suy giảm, cạn kiệt của vốn tự nhiên, tạo ra những rủi ro và thách thức lớn cho thế hệ tương lai.</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Để giải quyết vấn các vấn đề này, đồng thời tạo động lực phát triển bền vững và nâng cao chất lượng tăng trưởng và sự thịnh vượng quốc gia, Luật BVMT 2020 đã bổ sung một chương về các công cụ kinh tế và nguồn lực cho BVMT. Trong đó, đã bổ sung các chính sách về phát triển ngành công nghiệp môi trường, dịch vụ môi trường, sản phẩm, dịch vụ thân thiện môi trường; ưu tiên thực hiện mua sắm xanh đối với dự án, nhiệm vụ sử dụng ngân sách nhà nước; thúc đẩy việc khai thác, sử dụng và phát triển vốn tự nhiên; đặc biệt là thúc đẩy kinh tế tuần hoàn. Đồng thời, bổ sung chính sách về tín dụng xanh, trái phiếu xanh để huy động đa dạng các nguồn lực xã hội cho BVMT.</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5. Những vấn đề sửa đổi, bổ sung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5.1. Sửa đổi, bổ sung làm rõ một số từ ngữ (Điều 3 Luật BVMT năm 2020)</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Chỉnh sửa 11 và bổ sung 12 từ ngữ (môi trường, hoạt động BVMT, chất thải, quy hoạch BVMT, ĐTM, quan trắc môi trường, hạ tầng kỹ thuật BVMT, công nghệ tốt nhất hiện có, cộng đồng dân cư; giấy phép môi trường, nhãn sinh thái…); bỏ 07 từ ngữ (phát triển bền vững, công nghiệp môi trường, kiểm soát ô nhiễm, an ninh môi trường…).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5.2. Sửa đổi, bổ sung các quy định về thanh tra, kiểm tra và xử lý vi phạm (Điều 160, 161 Luật BVMT năm 2020)</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Luật đã quy định rõ hơn trách nhiệm của Bộ TN&amp;MT, Bộ Công an, Bộ Quốc phòng và UBND các cấp trong tổ chức, chỉ đạo thực hiện kiểm tra, thanh tra về BVMT (khoản . Bổ sung quy định về tần suất thanh tra BVMT (không quá một lần/năm đối với một tổ chức, cá nhân, riêng các đối tượng chấp hành tốt công tác BVMT là không quá một lần/02 năm liên tiếp, trừ trường hợp thanh tra đột xuất) để giảm phiền hà, chồng chéo cho doanh nghiệp. Bổ sung quy định thanh tra, kiểm tra đột xuất trong lĩnh vực BVMT được áp dụng theo quy định đặc thù không phải công bố, thông báo trước nhằm tăng cường hiệu quả của hoạt động này.</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Bổ sung quy định về hoạt động kiểm tra chấp hành pháp luật về BVMT của các cơ quan nhà nước, trong đó có cơ chế phối hợp giữa các cơ quan để tránh chồng chéo; quy định về hoạt động kiểm tra của lực lượng cảnh sát môi trường chỉ thực hiện khi có dấu hiệu tội phạm, có tố giác, tin báo tội phạm về môi trường hoặc theo kế hoạch được Bộ trưởng Bộ TN&amp;MT hoặc Chủ tịch UBND cấp tỉnh phê duyệt.</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lastRenderedPageBreak/>
        <w:t>- Sửa đổi, bổ sung các quy định về xử lý vi phạm theo hướng nâng thời hiệu xử lý vi phạm hành chính trong lĩnh vực BVMT từ 02 năm lên 10 năm để đảm bảo phù hợp với tính chất đặc thù của các hành vi vi phạm trong lĩnh vực môi trường. Tăng mức phạt hành vi vi phạm hành chính trong lĩnh vực BVMT (không khống chế mức phạt tiền tối đa mà có thể tính mức phạt theo giá trị số lợi</w:t>
      </w:r>
      <w:r w:rsidRPr="00D81363">
        <w:rPr>
          <w:rFonts w:eastAsia="Times New Roman" w:cs="Times New Roman"/>
          <w:color w:val="000000"/>
          <w:szCs w:val="28"/>
        </w:rPr>
        <w:br/>
        <w:t>thu được từ hành vi vi phạm); bổ sung cách tính mức phạt theo ngày, phạt lũy tiến theo kinh nghiệm các nước tiên tiến đang áp dụng; luật hóa trách nhiệm của cá nhân, tổ chức có liên quan, đặc biệt là cán bộ phụ trách môi trường của doanh nghiệp để bảo đảm đủ sức răn đe, phòng ngừa, ngăn chặn các hành vi vi phạm pháp luật về BVMT.</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Quy định quyền của các lực lượng (thanh tra xây dựng, giao thông, tổ chức, cá nhân quản lý công viên, khu vui chơi, giải trí, khu du lịch…) được xử lý vi phạm về BVMT nơi công cộng, trong hoạt động xây dựng, phương tiện tham gia giao thông; quy cơ chế xử phạt nhanh bằng biên lai thu tiền trực tiếp và cho phép giữ lại một phần hoặc toàn bộ số tiền xử phạt, tiền phạt tại các cơ quan, tổ</w:t>
      </w:r>
      <w:r w:rsidRPr="00D81363">
        <w:rPr>
          <w:rFonts w:eastAsia="Times New Roman" w:cs="Times New Roman"/>
          <w:color w:val="000000"/>
          <w:szCs w:val="28"/>
        </w:rPr>
        <w:br/>
        <w:t>chức để duy trì hoạt động BVMT nhằm huy động sự tham gia của các lực lượng này trong phát hiện và xử lý vi phạm về BVMT.</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Để nâng cao hiệu quả xử lý vi phạm hành chính về BVMT, bên cạnh các hình thức xử phạt, Luật bổ sung việc áp dụng các biện pháp xử lý hành chính khác để xử lý các hành vi vi phạm hành chính về BVMT như: biện pháp lao động công ích (theo kinh nghiệm nhiều nước trên thế giới đã áp dụng); giáo dục tại xã, phường, thị trấn; đưa vào cơ sở giáo dục bắt buộc. Thực tế hoạt động xử phạt vi phạm hành chính đối với các hành vi vi phạm về BVMT nơi công cộng trong thời gian qua không hiệu quả, mức phạt quá thấp thì không đảm bảo tính răn đe, mức phạt quá cao thì khó thu tiền phạt từ người vi phạm. Do vậy, việc bổ sung các quy định như trên sẽ đảm bảo tính khả thi, răn đe đối với cá nhân có hành vi vi phạm về BVMT tại nơi công cộng.</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5.3.  Sửa đổi, bổ sung một số điều của một số luật có liên quan đến BVMT (Điều 169 Luật BVMT năm 2020)</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Luật đã sửa đổi, bổ sung một số quy định khác, bao gồm: Bãi bỏ Điều 7 về “Sửa đổi, bổ sung một số điều của BVMT” của Luật sửa đổi, bổ sung một số điều của 37 Luật có liên quan đến quy hoạch số 35/2018/QH14; bãi bỏ Điều 99 về "Sửa đổi điểm a khoản 2 Điều 25 của Luật BVMT số 55/2014/QH13 đã được sửa đổi, bổ sung một số điều theo Luật số 35/2018/QH14” của Luật Đầu tư công số 39/2019/QH14; sửa đổi, bổ sung Danh mục ngành nghề kinh doanh có điều kiện có liên quan đến lĩnh vực môi trường (bỏ 02 loại hình kinh doanh có điều kiện là nhập khẩu tàu cũ để phá dỡ và vận chuyển CTNH; sửa đổi, bổ sung một số điều về BVMT, xả nước thải trong Luật Tài nguyên nước, Luật Thủy lợi, Luật Xử lý vi phạm hành chính để bảo đảm thống nhất đồng với các hệ thống</w:t>
      </w:r>
      <w:r w:rsidRPr="00D81363">
        <w:rPr>
          <w:rFonts w:eastAsia="Times New Roman" w:cs="Times New Roman"/>
          <w:color w:val="000000"/>
          <w:szCs w:val="28"/>
        </w:rPr>
        <w:br/>
        <w:t>pháp luật hiện hành.</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b/>
          <w:bCs/>
          <w:i/>
          <w:iCs/>
          <w:color w:val="000000"/>
          <w:szCs w:val="28"/>
        </w:rPr>
        <w:t>5.4. Sửa đổi, bổ sung các điều khoản chuyển tiếp</w:t>
      </w:r>
      <w:r w:rsidRPr="00D81363">
        <w:rPr>
          <w:rFonts w:eastAsia="Times New Roman" w:cs="Times New Roman"/>
          <w:i/>
          <w:iCs/>
          <w:color w:val="000000"/>
          <w:szCs w:val="28"/>
        </w:rPr>
        <w:t> </w:t>
      </w:r>
      <w:r w:rsidRPr="00D81363">
        <w:rPr>
          <w:rFonts w:eastAsia="Times New Roman" w:cs="Times New Roman"/>
          <w:b/>
          <w:bCs/>
          <w:i/>
          <w:iCs/>
          <w:color w:val="000000"/>
          <w:szCs w:val="28"/>
        </w:rPr>
        <w:t>(Điều 171 Luật BVMT năm 2020)</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Sửa đổi, bổ sung các điều khoản chuyển tiếp để xử lý sự giao thoa, bảo đảm tính thống nhất trong tổ chức thực hiện quy định pháp luật về BVMT</w:t>
      </w:r>
      <w:r w:rsidRPr="00D81363">
        <w:rPr>
          <w:rFonts w:eastAsia="Times New Roman" w:cs="Times New Roman"/>
          <w:i/>
          <w:iCs/>
          <w:color w:val="000000"/>
          <w:szCs w:val="28"/>
        </w:rPr>
        <w:t>.</w:t>
      </w:r>
    </w:p>
    <w:p w:rsidR="00676F3D" w:rsidRPr="00D81363" w:rsidRDefault="00676F3D" w:rsidP="00D81363">
      <w:pPr>
        <w:spacing w:after="0" w:line="240" w:lineRule="auto"/>
        <w:jc w:val="both"/>
        <w:rPr>
          <w:rFonts w:eastAsia="Times New Roman" w:cs="Times New Roman"/>
          <w:color w:val="000000"/>
          <w:szCs w:val="28"/>
        </w:rPr>
      </w:pPr>
      <w:r w:rsidRPr="00D81363">
        <w:rPr>
          <w:rFonts w:eastAsia="Times New Roman" w:cs="Times New Roman"/>
          <w:color w:val="000000"/>
          <w:szCs w:val="28"/>
        </w:rPr>
        <w:t> </w:t>
      </w:r>
    </w:p>
    <w:p w:rsidR="00676F3D" w:rsidRPr="00D81363" w:rsidRDefault="00676F3D" w:rsidP="00D81363">
      <w:pPr>
        <w:spacing w:after="0" w:line="240" w:lineRule="auto"/>
        <w:jc w:val="right"/>
        <w:rPr>
          <w:rFonts w:eastAsia="Times New Roman" w:cs="Times New Roman"/>
          <w:b/>
          <w:bCs/>
          <w:color w:val="000000"/>
          <w:szCs w:val="28"/>
        </w:rPr>
      </w:pPr>
      <w:r w:rsidRPr="00D81363">
        <w:rPr>
          <w:rFonts w:eastAsia="Times New Roman" w:cs="Times New Roman"/>
          <w:b/>
          <w:bCs/>
          <w:color w:val="000000"/>
          <w:szCs w:val="28"/>
        </w:rPr>
        <w:lastRenderedPageBreak/>
        <w:t>Lê Trọng Quốc-Tư pháp</w:t>
      </w:r>
    </w:p>
    <w:p w:rsidR="001C1FAD" w:rsidRPr="00D81363" w:rsidRDefault="001C1FAD" w:rsidP="00D81363">
      <w:pPr>
        <w:spacing w:after="0" w:line="240" w:lineRule="auto"/>
        <w:rPr>
          <w:rFonts w:cs="Times New Roman"/>
          <w:szCs w:val="28"/>
        </w:rPr>
      </w:pPr>
    </w:p>
    <w:sectPr w:rsidR="001C1FAD" w:rsidRPr="00D81363" w:rsidSect="00D81363">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3D"/>
    <w:rsid w:val="001C1FAD"/>
    <w:rsid w:val="00311660"/>
    <w:rsid w:val="00676F3D"/>
    <w:rsid w:val="009C0BD1"/>
    <w:rsid w:val="00D81363"/>
    <w:rsid w:val="00DC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65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Sao Viet Hue</cp:lastModifiedBy>
  <cp:revision>2</cp:revision>
  <dcterms:created xsi:type="dcterms:W3CDTF">2022-04-26T03:14:00Z</dcterms:created>
  <dcterms:modified xsi:type="dcterms:W3CDTF">2022-04-26T03:14:00Z</dcterms:modified>
</cp:coreProperties>
</file>